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ind w:right="-6" w:hanging="0"/>
        <w:jc w:val="center"/>
        <w:rPr/>
      </w:pPr>
      <w:r>
        <w:rPr>
          <w:rFonts w:ascii="Arial-BoldMT" w:hAnsi="Arial-BoldMT"/>
          <w:b/>
          <w:color w:val="auto"/>
          <w:sz w:val="28"/>
        </w:rPr>
        <w:t>Acte de désignation des commissaires aux comptes (SAS)</w:t>
      </w:r>
    </w:p>
    <w:p>
      <w:pPr>
        <w:pStyle w:val="Normal"/>
        <w:bidi w:val="0"/>
        <w:ind w:right="-6" w:hanging="0"/>
        <w:jc w:val="left"/>
        <w:rPr>
          <w:rFonts w:ascii="ArialMT" w:hAnsi="ArialMT"/>
          <w:b w:val="false"/>
          <w:b w:val="false"/>
          <w:color w:val="auto"/>
          <w:sz w:val="24"/>
        </w:rPr>
      </w:pPr>
      <w:r>
        <w:rPr>
          <w:rFonts w:ascii="ArialMT" w:hAnsi="ArialMT"/>
          <w:b w:val="false"/>
          <w:color w:val="auto"/>
          <w:sz w:val="24"/>
        </w:rPr>
      </w:r>
    </w:p>
    <w:p>
      <w:pPr>
        <w:pStyle w:val="Normal"/>
        <w:bidi w:val="0"/>
        <w:ind w:right="-6" w:hanging="0"/>
        <w:jc w:val="left"/>
        <w:rPr>
          <w:rFonts w:ascii="ArialMT" w:hAnsi="ArialMT"/>
          <w:b w:val="false"/>
          <w:b w:val="false"/>
          <w:color w:val="auto"/>
          <w:sz w:val="24"/>
        </w:rPr>
      </w:pPr>
      <w:r>
        <w:rPr>
          <w:rFonts w:ascii="ArialMT" w:hAnsi="ArialMT"/>
          <w:b w:val="false"/>
          <w:color w:val="auto"/>
          <w:sz w:val="24"/>
        </w:rPr>
      </w:r>
    </w:p>
    <w:p>
      <w:pPr>
        <w:pStyle w:val="Normal"/>
        <w:bidi w:val="0"/>
        <w:ind w:right="-6" w:hanging="0"/>
        <w:jc w:val="left"/>
        <w:rPr>
          <w:rFonts w:ascii="ArialMT" w:hAnsi="ArialMT"/>
          <w:b w:val="false"/>
          <w:b w:val="false"/>
          <w:color w:val="auto"/>
          <w:sz w:val="24"/>
        </w:rPr>
      </w:pPr>
      <w:r>
        <w:rPr>
          <w:rFonts w:ascii="ArialMT" w:hAnsi="ArialMT"/>
          <w:b w:val="false"/>
          <w:color w:val="auto"/>
          <w:sz w:val="24"/>
        </w:rPr>
      </w:r>
    </w:p>
    <w:p>
      <w:pPr>
        <w:pStyle w:val="Normal"/>
        <w:bidi w:val="0"/>
        <w:ind w:right="-6" w:hanging="0"/>
        <w:jc w:val="left"/>
        <w:rPr/>
      </w:pPr>
      <w:r>
        <w:rPr>
          <w:rFonts w:ascii="ArialMT" w:hAnsi="ArialMT"/>
          <w:b w:val="false"/>
          <w:color w:val="auto"/>
          <w:sz w:val="24"/>
        </w:rPr>
        <w:t>Les soussignés,</w:t>
      </w:r>
    </w:p>
    <w:p>
      <w:pPr>
        <w:pStyle w:val="Normal"/>
        <w:bidi w:val="0"/>
        <w:ind w:right="-6" w:hanging="0"/>
        <w:jc w:val="left"/>
        <w:rPr>
          <w:rFonts w:ascii="ArialMT" w:hAnsi="ArialMT"/>
          <w:b w:val="false"/>
          <w:b w:val="false"/>
          <w:color w:val="auto"/>
          <w:sz w:val="24"/>
        </w:rPr>
      </w:pPr>
      <w:r>
        <w:rPr>
          <w:rFonts w:ascii="ArialMT" w:hAnsi="ArialMT"/>
          <w:b w:val="false"/>
          <w:color w:val="auto"/>
          <w:sz w:val="24"/>
        </w:rPr>
      </w:r>
    </w:p>
    <w:p>
      <w:pPr>
        <w:pStyle w:val="Normal"/>
        <w:bidi w:val="0"/>
        <w:ind w:right="-6" w:hanging="0"/>
        <w:jc w:val="left"/>
        <w:rPr/>
      </w:pPr>
      <w:r>
        <w:rPr>
          <w:rFonts w:ascii="ArialMT" w:hAnsi="ArialMT"/>
          <w:b w:val="false"/>
          <w:color w:val="auto"/>
          <w:sz w:val="24"/>
        </w:rPr>
        <w:t>- .......</w:t>
      </w:r>
    </w:p>
    <w:p>
      <w:pPr>
        <w:pStyle w:val="Normal"/>
        <w:bidi w:val="0"/>
        <w:ind w:right="-6" w:hanging="0"/>
        <w:jc w:val="left"/>
        <w:rPr/>
      </w:pPr>
      <w:r>
        <w:rPr>
          <w:rFonts w:ascii="ArialMT" w:hAnsi="ArialMT"/>
          <w:b w:val="false"/>
          <w:color w:val="auto"/>
          <w:sz w:val="24"/>
        </w:rPr>
        <w:t>- .......</w:t>
      </w:r>
    </w:p>
    <w:p>
      <w:pPr>
        <w:pStyle w:val="Normal"/>
        <w:bidi w:val="0"/>
        <w:ind w:right="-6" w:hanging="0"/>
        <w:jc w:val="left"/>
        <w:rPr>
          <w:rFonts w:ascii="ArialMT" w:hAnsi="ArialMT"/>
          <w:b w:val="false"/>
          <w:b w:val="false"/>
          <w:color w:val="auto"/>
          <w:sz w:val="24"/>
        </w:rPr>
      </w:pPr>
      <w:r>
        <w:rPr>
          <w:rFonts w:ascii="ArialMT" w:hAnsi="ArialMT"/>
          <w:b w:val="false"/>
          <w:color w:val="auto"/>
          <w:sz w:val="24"/>
        </w:rPr>
      </w:r>
    </w:p>
    <w:p>
      <w:pPr>
        <w:pStyle w:val="Normal"/>
        <w:bidi w:val="0"/>
        <w:ind w:right="-6" w:hanging="0"/>
        <w:jc w:val="both"/>
        <w:rPr/>
      </w:pPr>
      <w:r>
        <w:rPr>
          <w:rFonts w:ascii="ArialMT" w:hAnsi="ArialMT"/>
          <w:b w:val="false"/>
          <w:color w:val="auto"/>
          <w:sz w:val="24"/>
        </w:rPr>
        <w:t>agissant en qualité d'actionnaires de la Société ... , société par actions simplifiée au capital de .... €, dont le siège social est situé à ...,</w:t>
      </w:r>
    </w:p>
    <w:p>
      <w:pPr>
        <w:pStyle w:val="Normal"/>
        <w:bidi w:val="0"/>
        <w:ind w:right="-6" w:hanging="0"/>
        <w:jc w:val="both"/>
        <w:rPr>
          <w:rFonts w:ascii="ArialMT" w:hAnsi="ArialMT"/>
          <w:b w:val="false"/>
          <w:b w:val="false"/>
          <w:color w:val="auto"/>
          <w:sz w:val="24"/>
        </w:rPr>
      </w:pPr>
      <w:r>
        <w:rPr>
          <w:rFonts w:ascii="ArialMT" w:hAnsi="ArialMT"/>
          <w:b w:val="false"/>
          <w:color w:val="auto"/>
          <w:sz w:val="24"/>
        </w:rPr>
      </w:r>
    </w:p>
    <w:p>
      <w:pPr>
        <w:pStyle w:val="Normal"/>
        <w:bidi w:val="0"/>
        <w:ind w:right="-6" w:hanging="0"/>
        <w:jc w:val="both"/>
        <w:rPr/>
      </w:pPr>
      <w:r>
        <w:rPr>
          <w:rFonts w:ascii="ArialMT" w:hAnsi="ArialMT"/>
          <w:b w:val="false"/>
          <w:color w:val="auto"/>
          <w:sz w:val="24"/>
        </w:rPr>
        <w:t xml:space="preserve">nomment, en application de l'article ... des statuts de ladite Société établis par acte sous seing privé le ... (date) à ... (lieu), M. </w:t>
      </w:r>
      <w:r>
        <w:rPr>
          <w:rFonts w:ascii="ArialMT" w:hAnsi="ArialMT"/>
          <w:b w:val="false"/>
          <w:color w:val="auto"/>
          <w:sz w:val="24"/>
        </w:rPr>
        <w:t xml:space="preserve">Christophe Guyot-Sionnest Issy les Moulineaux inscrit à la CRCC des commissaires aux comptes de Versailles 0667399676 </w:t>
      </w:r>
      <w:hyperlink r:id="rId2">
        <w:r>
          <w:rPr>
            <w:rStyle w:val="InternetLink"/>
            <w:rFonts w:ascii="ArialMT" w:hAnsi="ArialMT"/>
            <w:b w:val="false"/>
            <w:color w:val="auto"/>
            <w:sz w:val="24"/>
          </w:rPr>
          <w:t>www.conseil-cac.com</w:t>
        </w:r>
      </w:hyperlink>
      <w:hyperlink r:id="rId3">
        <w:r>
          <w:rPr>
            <w:rFonts w:ascii="ArialMT" w:hAnsi="ArialMT"/>
            <w:b w:val="false"/>
            <w:color w:val="auto"/>
            <w:sz w:val="24"/>
          </w:rPr>
          <w:t xml:space="preserve"> </w:t>
        </w:r>
      </w:hyperlink>
      <w:r>
        <w:rPr>
          <w:rFonts w:ascii="ArialMT" w:hAnsi="ArialMT"/>
          <w:b w:val="false"/>
          <w:color w:val="auto"/>
          <w:sz w:val="24"/>
        </w:rPr>
        <w:t xml:space="preserve"> aux fonctions de commissaire aux comptes titulaire et </w:t>
      </w:r>
      <w:r>
        <w:rPr>
          <w:rFonts w:ascii="ArialMT" w:hAnsi="ArialMT"/>
          <w:b w:val="false"/>
          <w:color w:val="auto"/>
          <w:sz w:val="24"/>
        </w:rPr>
        <w:t xml:space="preserve">SARL Conseil et Audit Issy les Moulineaux inscrit à la CRCC des commissaires aux comptes de Versailles 0667399676 </w:t>
      </w:r>
      <w:hyperlink r:id="rId4">
        <w:r>
          <w:rPr>
            <w:rStyle w:val="InternetLink"/>
            <w:rFonts w:ascii="ArialMT" w:hAnsi="ArialMT"/>
            <w:b w:val="false"/>
            <w:color w:val="auto"/>
            <w:sz w:val="24"/>
          </w:rPr>
          <w:t>www.conseil-cac.com</w:t>
        </w:r>
      </w:hyperlink>
      <w:hyperlink r:id="rId5">
        <w:r>
          <w:rPr>
            <w:rFonts w:ascii="ArialMT" w:hAnsi="ArialMT"/>
            <w:b w:val="false"/>
            <w:color w:val="auto"/>
            <w:sz w:val="24"/>
          </w:rPr>
          <w:t xml:space="preserve"> </w:t>
        </w:r>
      </w:hyperlink>
      <w:r>
        <w:rPr>
          <w:rFonts w:ascii="ArialMT" w:hAnsi="ArialMT"/>
          <w:b w:val="false"/>
          <w:color w:val="auto"/>
          <w:sz w:val="24"/>
        </w:rPr>
        <w:t xml:space="preserve"> aux fonctions de commissaire aux comptes suppléant.</w:t>
      </w:r>
    </w:p>
    <w:p>
      <w:pPr>
        <w:pStyle w:val="Normal"/>
        <w:bidi w:val="0"/>
        <w:ind w:right="-6" w:hanging="0"/>
        <w:jc w:val="both"/>
        <w:rPr>
          <w:rFonts w:ascii="ArialMT" w:hAnsi="ArialMT"/>
          <w:b w:val="false"/>
          <w:b w:val="false"/>
          <w:color w:val="auto"/>
          <w:sz w:val="24"/>
        </w:rPr>
      </w:pPr>
      <w:r>
        <w:rPr>
          <w:rFonts w:ascii="ArialMT" w:hAnsi="ArialMT"/>
          <w:b w:val="false"/>
          <w:color w:val="auto"/>
          <w:sz w:val="24"/>
        </w:rPr>
      </w:r>
    </w:p>
    <w:p>
      <w:pPr>
        <w:pStyle w:val="Normal"/>
        <w:bidi w:val="0"/>
        <w:ind w:right="-6" w:hanging="0"/>
        <w:jc w:val="both"/>
        <w:rPr/>
      </w:pPr>
      <w:r>
        <w:rPr>
          <w:rFonts w:ascii="ArialMT" w:hAnsi="ArialMT"/>
          <w:b w:val="false"/>
          <w:color w:val="auto"/>
          <w:sz w:val="24"/>
        </w:rPr>
        <w:t>Conformément à la loi, leur mandat prendra fin à l'issue de l'assemblée générale annuelle statuant sur les comptes du sixième exercice.</w:t>
      </w:r>
    </w:p>
    <w:p>
      <w:pPr>
        <w:pStyle w:val="Normal"/>
        <w:bidi w:val="0"/>
        <w:ind w:right="-6" w:hanging="0"/>
        <w:jc w:val="both"/>
        <w:rPr>
          <w:rFonts w:ascii="ArialMT" w:hAnsi="ArialMT"/>
          <w:b w:val="false"/>
          <w:b w:val="false"/>
          <w:color w:val="auto"/>
          <w:sz w:val="24"/>
        </w:rPr>
      </w:pPr>
      <w:r>
        <w:rPr>
          <w:rFonts w:ascii="ArialMT" w:hAnsi="ArialMT"/>
          <w:b w:val="false"/>
          <w:color w:val="auto"/>
          <w:sz w:val="24"/>
        </w:rPr>
      </w:r>
    </w:p>
    <w:p>
      <w:pPr>
        <w:pStyle w:val="Normal"/>
        <w:bidi w:val="0"/>
        <w:ind w:right="-6" w:hanging="0"/>
        <w:jc w:val="both"/>
        <w:rPr/>
      </w:pPr>
      <w:r>
        <w:rPr>
          <w:rFonts w:ascii="ArialMT" w:hAnsi="ArialMT"/>
          <w:b w:val="false"/>
          <w:color w:val="auto"/>
          <w:sz w:val="24"/>
        </w:rPr>
        <w:t>Fait en ... exemplaires</w:t>
      </w:r>
    </w:p>
    <w:p>
      <w:pPr>
        <w:pStyle w:val="Normal"/>
        <w:bidi w:val="0"/>
        <w:ind w:right="-6" w:hanging="0"/>
        <w:jc w:val="left"/>
        <w:rPr/>
      </w:pPr>
      <w:r>
        <w:rPr>
          <w:rFonts w:ascii="ArialMT" w:hAnsi="ArialMT"/>
          <w:b w:val="false"/>
          <w:color w:val="auto"/>
          <w:sz w:val="24"/>
        </w:rPr>
        <w:t>À ... , le ...</w:t>
      </w:r>
    </w:p>
    <w:p>
      <w:pPr>
        <w:pStyle w:val="Normal"/>
        <w:bidi w:val="0"/>
        <w:ind w:right="-6" w:hanging="0"/>
        <w:jc w:val="left"/>
        <w:rPr>
          <w:rFonts w:ascii="ArialMT" w:hAnsi="ArialMT"/>
          <w:b w:val="false"/>
          <w:b w:val="false"/>
          <w:color w:val="auto"/>
          <w:sz w:val="24"/>
        </w:rPr>
      </w:pPr>
      <w:r>
        <w:rPr>
          <w:rFonts w:ascii="ArialMT" w:hAnsi="ArialMT"/>
          <w:b w:val="false"/>
          <w:color w:val="auto"/>
          <w:sz w:val="24"/>
        </w:rPr>
      </w:r>
    </w:p>
    <w:p>
      <w:pPr>
        <w:pStyle w:val="Normal"/>
        <w:bidi w:val="0"/>
        <w:ind w:right="-6" w:hanging="0"/>
        <w:jc w:val="left"/>
        <w:rPr>
          <w:rFonts w:ascii="ArialMT" w:hAnsi="ArialMT"/>
          <w:b w:val="false"/>
          <w:b w:val="false"/>
          <w:color w:val="auto"/>
          <w:sz w:val="24"/>
        </w:rPr>
      </w:pPr>
      <w:r>
        <w:rPr>
          <w:rFonts w:ascii="ArialMT" w:hAnsi="ArialMT"/>
          <w:b w:val="false"/>
          <w:color w:val="auto"/>
          <w:sz w:val="24"/>
        </w:rPr>
      </w:r>
    </w:p>
    <w:p>
      <w:pPr>
        <w:pStyle w:val="Normal"/>
        <w:bidi w:val="0"/>
        <w:ind w:right="-6" w:hanging="0"/>
        <w:jc w:val="left"/>
        <w:rPr>
          <w:rFonts w:ascii="ArialMT" w:hAnsi="ArialMT"/>
          <w:b w:val="false"/>
          <w:b w:val="false"/>
          <w:color w:val="auto"/>
          <w:sz w:val="24"/>
        </w:rPr>
      </w:pPr>
      <w:r>
        <w:rPr>
          <w:rFonts w:ascii="ArialMT" w:hAnsi="ArialMT"/>
          <w:b w:val="false"/>
          <w:color w:val="auto"/>
          <w:sz w:val="24"/>
        </w:rPr>
      </w:r>
    </w:p>
    <w:p>
      <w:pPr>
        <w:pStyle w:val="Normal"/>
        <w:bidi w:val="0"/>
        <w:ind w:right="-6" w:hanging="0"/>
        <w:jc w:val="left"/>
        <w:rPr>
          <w:rFonts w:ascii="ArialMT" w:hAnsi="ArialMT"/>
          <w:b w:val="false"/>
          <w:b w:val="false"/>
          <w:color w:val="auto"/>
          <w:sz w:val="24"/>
        </w:rPr>
      </w:pPr>
      <w:r>
        <w:rPr>
          <w:rFonts w:ascii="ArialMT" w:hAnsi="ArialMT"/>
          <w:b w:val="false"/>
          <w:color w:val="auto"/>
          <w:sz w:val="24"/>
        </w:rPr>
      </w:r>
    </w:p>
    <w:p>
      <w:pPr>
        <w:pStyle w:val="Normal"/>
        <w:bidi w:val="0"/>
        <w:ind w:left="2832" w:right="-6" w:firstLine="708"/>
        <w:jc w:val="left"/>
        <w:rPr/>
      </w:pPr>
      <w:r>
        <w:rPr>
          <w:rFonts w:ascii="Arial-BoldItalicMT" w:hAnsi="Arial-BoldItalicMT"/>
          <w:b/>
          <w:i/>
          <w:color w:val="auto"/>
          <w:sz w:val="24"/>
        </w:rPr>
        <w:t>Signature de tous les actionnaires</w:t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-BoldMT">
    <w:charset w:val="01"/>
    <w:family w:val="roman"/>
    <w:pitch w:val="variable"/>
  </w:font>
  <w:font w:name="ArialMT">
    <w:charset w:val="01"/>
    <w:family w:val="roman"/>
    <w:pitch w:val="variable"/>
  </w:font>
  <w:font w:name="Arial-BoldItalicMT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5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ongti SC" w:cs="Arial Unicode MS"/>
        <w:kern w:val="2"/>
        <w:sz w:val="24"/>
        <w:szCs w:val="24"/>
        <w:lang w:val="fr-F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bidi w:val="0"/>
    </w:pPr>
    <w:rPr>
      <w:rFonts w:ascii="Liberation Serif" w:hAnsi="Liberation Serif" w:eastAsia="Songti SC" w:cs="Arial Unicode MS"/>
      <w:color w:val="auto"/>
      <w:kern w:val="2"/>
      <w:sz w:val="24"/>
      <w:szCs w:val="24"/>
      <w:lang w:val="fr-FR" w:eastAsia="zh-CN" w:bidi="hi-IN"/>
    </w:rPr>
  </w:style>
  <w:style w:type="character" w:styleId="InternetLink">
    <w:name w:val="Hyperlink"/>
    <w:rPr>
      <w:color w:val="000080"/>
      <w:u w:val="single"/>
      <w:lang w:val="zxx" w:eastAsia="zxx" w:bidi="zxx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PingFang SC" w:cs="Arial Unicode M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Arial Unicode M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 Unicode MS"/>
      <w:lang w:val="zxx" w:eastAsia="zxx" w:bidi="zxx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www.conseil-cac.com/" TargetMode="External"/><Relationship Id="rId3" Type="http://schemas.openxmlformats.org/officeDocument/2006/relationships/hyperlink" Target="" TargetMode="External"/><Relationship Id="rId4" Type="http://schemas.openxmlformats.org/officeDocument/2006/relationships/hyperlink" Target="http://www.conseil-cac.com/" TargetMode="External"/><Relationship Id="rId5" Type="http://schemas.openxmlformats.org/officeDocument/2006/relationships/hyperlink" Target="" TargetMode="External"/><Relationship Id="rId6" Type="http://schemas.openxmlformats.org/officeDocument/2006/relationships/fontTable" Target="fontTable.xml"/><Relationship Id="rId7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</TotalTime>
  <Application>LibreOffice/7.2.0.4$MacOSX_X86_64 LibreOffice_project/9a9c6381e3f7a62afc1329bd359cc48accb6435b</Application>
  <AppVersion>15.0000</AppVersion>
  <Pages>1</Pages>
  <Words>150</Words>
  <Characters>811</Characters>
  <CharactersWithSpaces>953</CharactersWithSpaces>
  <Paragraphs>10</Paragraphs>
  <Company>Presse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Fabienne</dc:creator>
  <dc:description/>
  <dc:language>fr-FR</dc:language>
  <cp:lastModifiedBy/>
  <dcterms:modified xsi:type="dcterms:W3CDTF">2021-09-28T16:39:33Z</dcterms:modified>
  <cp:revision>1</cp:revision>
  <dc:subject/>
  <dc:title>Acte de désignation des commissaires aux comptes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