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widowControl/>
        <w:pBdr>
          <w:bottom w:val="single" w:sz="2" w:space="1" w:color="EF4A43"/>
        </w:pBdr>
        <w:bidi w:val="0"/>
        <w:spacing w:lineRule="atLeast" w:line="415" w:before="0" w:after="164"/>
        <w:ind w:left="0" w:right="0" w:hanging="0"/>
        <w:jc w:val="left"/>
        <w:rPr>
          <w:rFonts w:ascii="Lato" w:hAnsi="Lato"/>
          <w:b w:val="false"/>
          <w:i w:val="false"/>
          <w:caps w:val="false"/>
          <w:smallCaps w:val="false"/>
          <w:color w:val="272727"/>
          <w:spacing w:val="0"/>
          <w:sz w:val="39"/>
        </w:rPr>
      </w:pPr>
      <w:r>
        <w:rPr>
          <w:rFonts w:ascii="Lato" w:hAnsi="Lato"/>
          <w:b w:val="false"/>
          <w:i w:val="false"/>
          <w:caps w:val="false"/>
          <w:smallCaps w:val="false"/>
          <w:color w:val="272727"/>
          <w:spacing w:val="0"/>
          <w:sz w:val="39"/>
        </w:rPr>
        <w:t>Commissaire chargé de la vérification de l'actif et du passif</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Lorsqu’une société veut émettre des obligations, elle accomplit dès avant l’ouverture de la souscription, des formalités de publicité sur les conditions d’émissions par l’insertion d’une notice d’information au BALO (Bulletin d’annonces légales officielles). Cette notice contient diverses informations qui sont prévues par décret.</w:t>
        <w:br/>
        <w:t>C’est ainsi que l’émission d’obligations n’est permise qu’aux sociétés par actions ayant deux années d’existence et qui ont établi deux bilans régulièrement approuvés par les actionnaires</w:t>
      </w:r>
    </w:p>
    <w:p>
      <w:pPr>
        <w:pStyle w:val="TextBody"/>
        <w:widowControl/>
        <w:bidi w:val="0"/>
        <w:spacing w:before="0" w:after="109"/>
        <w:ind w:left="0" w:right="0" w:hanging="0"/>
        <w:jc w:val="left"/>
        <w:rPr/>
      </w:pPr>
      <w:r>
        <w:rPr>
          <w:rFonts w:ascii="Helvetica Neue;Helvetica;Arial" w:hAnsi="Helvetica Neue;Helvetica;Arial"/>
          <w:b w:val="false"/>
          <w:i w:val="false"/>
          <w:caps w:val="false"/>
          <w:smallCaps w:val="false"/>
          <w:color w:val="A6A6A6"/>
          <w:spacing w:val="0"/>
          <w:sz w:val="14"/>
        </w:rPr>
        <w:t>Depuis la </w:t>
      </w:r>
      <w:r>
        <w:rPr>
          <w:rStyle w:val="StrongEmphasis"/>
          <w:rFonts w:ascii="Helvetica Neue;Helvetica;Arial" w:hAnsi="Helvetica Neue;Helvetica;Arial"/>
          <w:b/>
          <w:i w:val="false"/>
          <w:caps w:val="false"/>
          <w:smallCaps w:val="false"/>
          <w:color w:val="A6A6A6"/>
          <w:spacing w:val="0"/>
          <w:sz w:val="14"/>
        </w:rPr>
        <w:t>Loi NRE du 15 mai 2001</w:t>
      </w:r>
      <w:r>
        <w:rPr>
          <w:rFonts w:ascii="Helvetica Neue;Helvetica;Arial" w:hAnsi="Helvetica Neue;Helvetica;Arial"/>
          <w:b w:val="false"/>
          <w:i w:val="false"/>
          <w:caps w:val="false"/>
          <w:smallCaps w:val="false"/>
          <w:color w:val="A6A6A6"/>
          <w:spacing w:val="0"/>
          <w:sz w:val="14"/>
        </w:rPr>
        <w:t>, les jeunes sociétés n’ayant pas établi deux bilans peuvent désormais émettre des obligations, à la condition préalable de demander au Président du Tribunal de commerce, la désignation d’un commissaire chargé de vérifier leur actif et leur passif.</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Pour préserver l’égalité des associés, présents et à venir, l’évaluation de l’actif et du passif de la société est opérée par un expert indépendant et extérieur à la société, le commissaire chargé de la vérification de l’actif et du passif. Ce qui permet à l’éventuel souscripteur de pouvoir apprécier la situation financière de la société émettrice.</w:t>
      </w:r>
    </w:p>
    <w:p>
      <w:pPr>
        <w:pStyle w:val="Heading3"/>
        <w:widowControl/>
        <w:bidi w:val="0"/>
        <w:spacing w:lineRule="atLeast" w:line="262" w:before="0" w:after="164"/>
        <w:ind w:left="0" w:right="0" w:hanging="0"/>
        <w:jc w:val="left"/>
        <w:rPr>
          <w:rFonts w:ascii="Lato" w:hAnsi="Lato"/>
          <w:b w:val="false"/>
          <w:i w:val="false"/>
          <w:caps w:val="false"/>
          <w:smallCaps w:val="false"/>
          <w:color w:val="272727"/>
          <w:spacing w:val="0"/>
          <w:sz w:val="20"/>
        </w:rPr>
      </w:pPr>
      <w:r>
        <w:rPr>
          <w:rFonts w:ascii="Lato" w:hAnsi="Lato"/>
          <w:b w:val="false"/>
          <w:i w:val="false"/>
          <w:caps w:val="false"/>
          <w:smallCaps w:val="false"/>
          <w:color w:val="272727"/>
          <w:spacing w:val="0"/>
          <w:sz w:val="20"/>
        </w:rPr>
        <w:t>La mission du commissaire chargé de la vérification</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Le commissaire à la transformation est un professionnel du chiffre choisi parmi la liste des commissaires aux comptes ou des experts judiciaires près la Cour d’Appel de Paris.</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Le commissaire à la transformation a pour mission d’apprécier sous sa responsabilité, la valeur de l’actif et du passif et le cas échéant, de rechercher l’octroi d’avantages particuliers.</w:t>
        <w:br/>
        <w:t>Il travaille dans les mêmes conditions que le commissaire aux apports.</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Le commissaire dépose ensuite un rapport d’évaluation qui est déposé en annexe du Registre du commerce et des sociétés. Ce rapport indique la situation financière réelle de l’entreprise à l’attention des souscripteurs. Il garantit la situation financière de la société.</w:t>
        <w:br/>
        <w:t>L’assemblée des associés doit approuver ou modifier l’évaluation de l’actif et du passif social retenue par le commissaire, et se prononcer sur les avantages particuliers le cas échéant, puis, elle autorise s’il y’a lieu l’émission des obligations.</w:t>
      </w:r>
    </w:p>
    <w:p>
      <w:pPr>
        <w:pStyle w:val="TextBody"/>
        <w:widowControl/>
        <w:bidi w:val="0"/>
        <w:spacing w:before="0" w:after="109"/>
        <w:ind w:left="0" w:right="0" w:hanging="0"/>
        <w:jc w:val="left"/>
        <w:rPr/>
      </w:pPr>
      <w:r>
        <w:rPr>
          <w:rStyle w:val="Emphasis"/>
          <w:rFonts w:ascii="Helvetica Neue;Helvetica;Arial" w:hAnsi="Helvetica Neue;Helvetica;Arial"/>
          <w:b w:val="false"/>
          <w:i w:val="false"/>
          <w:caps w:val="false"/>
          <w:smallCaps w:val="false"/>
          <w:color w:val="A6A6A6"/>
          <w:spacing w:val="0"/>
          <w:sz w:val="14"/>
        </w:rPr>
        <w:t>Textes : Articles L 228-39, L251-7, L 225-8, L225-224, L 225-10, décret n° 86-73du 13 janvier 1983.</w:t>
      </w:r>
    </w:p>
    <w:p>
      <w:pPr>
        <w:pStyle w:val="Heading2"/>
        <w:widowControl/>
        <w:bidi w:val="0"/>
        <w:spacing w:lineRule="atLeast" w:line="284" w:before="0" w:after="164"/>
        <w:ind w:left="0" w:right="0" w:hanging="0"/>
        <w:jc w:val="left"/>
        <w:rPr>
          <w:rFonts w:ascii="Lato" w:hAnsi="Lato"/>
          <w:b w:val="false"/>
          <w:i w:val="false"/>
          <w:caps w:val="false"/>
          <w:smallCaps w:val="false"/>
          <w:color w:val="272727"/>
          <w:spacing w:val="0"/>
          <w:sz w:val="22"/>
        </w:rPr>
      </w:pPr>
      <w:r>
        <w:rPr>
          <w:rFonts w:ascii="Lato" w:hAnsi="Lato"/>
          <w:b w:val="false"/>
          <w:i w:val="false"/>
          <w:caps w:val="false"/>
          <w:smallCaps w:val="false"/>
          <w:color w:val="272727"/>
          <w:spacing w:val="0"/>
          <w:sz w:val="22"/>
        </w:rPr>
        <w:t>Comment déposer la requête</w:t>
      </w:r>
    </w:p>
    <w:p>
      <w:pPr>
        <w:pStyle w:val="TextBody"/>
        <w:widowControl/>
        <w:numPr>
          <w:ilvl w:val="0"/>
          <w:numId w:val="1"/>
        </w:numPr>
        <w:tabs>
          <w:tab w:val="clear" w:pos="709"/>
          <w:tab w:val="left" w:pos="707" w:leader="none"/>
        </w:tabs>
        <w:bidi w:val="0"/>
        <w:spacing w:before="0" w:after="109"/>
        <w:ind w:left="707"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La désignation du commissaire chargé de vérifier l’actif et le passif est faite à la requête des dirigeants sociaux ou l’un d’eux, et présentée au Président du Tribunal de commerce, qui statue par voie d’ordonnance.</w:t>
      </w:r>
    </w:p>
    <w:p>
      <w:pPr>
        <w:pStyle w:val="TextBody"/>
        <w:widowControl/>
        <w:numPr>
          <w:ilvl w:val="0"/>
          <w:numId w:val="2"/>
        </w:numPr>
        <w:tabs>
          <w:tab w:val="clear" w:pos="709"/>
          <w:tab w:val="left" w:pos="707" w:leader="none"/>
        </w:tabs>
        <w:bidi w:val="0"/>
        <w:spacing w:before="0" w:after="109"/>
        <w:ind w:left="707"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La requête doit être déposée en deux exemplaires originaux datés et signés</w:t>
      </w:r>
    </w:p>
    <w:p>
      <w:pPr>
        <w:pStyle w:val="TextBody"/>
        <w:widowControl/>
        <w:numPr>
          <w:ilvl w:val="0"/>
          <w:numId w:val="3"/>
        </w:numPr>
        <w:tabs>
          <w:tab w:val="clear" w:pos="709"/>
          <w:tab w:val="left" w:pos="707" w:leader="none"/>
        </w:tabs>
        <w:bidi w:val="0"/>
        <w:spacing w:before="0" w:after="109"/>
        <w:ind w:left="707"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Les honoraires du commissaire sont à la charge des requérants.</w:t>
      </w:r>
    </w:p>
    <w:p>
      <w:pPr>
        <w:pStyle w:val="TextBody"/>
        <w:widowControl/>
        <w:numPr>
          <w:ilvl w:val="0"/>
          <w:numId w:val="4"/>
        </w:numPr>
        <w:tabs>
          <w:tab w:val="clear" w:pos="709"/>
          <w:tab w:val="left" w:pos="707" w:leader="none"/>
        </w:tabs>
        <w:bidi w:val="0"/>
        <w:spacing w:before="0" w:after="109"/>
        <w:ind w:left="707"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La requête peut être adressée au greffe (Nouveau Palais de Justice - 44 rue de Bonnel - 69433 LYON cedex 03) ou déposée à notre accueil</w:t>
      </w:r>
    </w:p>
    <w:p>
      <w:pPr>
        <w:pStyle w:val="Heading3"/>
        <w:widowControl/>
        <w:bidi w:val="0"/>
        <w:spacing w:lineRule="atLeast" w:line="262" w:before="0" w:after="164"/>
        <w:ind w:left="0" w:right="0" w:hanging="0"/>
        <w:jc w:val="left"/>
        <w:rPr>
          <w:rFonts w:ascii="Lato" w:hAnsi="Lato"/>
          <w:b w:val="false"/>
          <w:i w:val="false"/>
          <w:caps w:val="false"/>
          <w:smallCaps w:val="false"/>
          <w:color w:val="272727"/>
          <w:spacing w:val="0"/>
          <w:sz w:val="20"/>
        </w:rPr>
      </w:pPr>
      <w:r>
        <w:rPr>
          <w:rFonts w:ascii="Lato" w:hAnsi="Lato"/>
          <w:b w:val="false"/>
          <w:i w:val="false"/>
          <w:caps w:val="false"/>
          <w:smallCaps w:val="false"/>
          <w:color w:val="272727"/>
          <w:spacing w:val="0"/>
          <w:sz w:val="20"/>
        </w:rPr>
        <w:t>Suggestion du nom d’un commissaire</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Le requérant peut suggérer à Monsieur le Président du Tribunal du Commerce, sous réserve de son appréciation, le nom d’un commissaire chargé de vérifier l’actif et le passif de la société, ainsi que les éventuels avantages.</w:t>
      </w:r>
    </w:p>
    <w:p>
      <w:pPr>
        <w:pStyle w:val="TextBody"/>
        <w:widowControl/>
        <w:bidi w:val="0"/>
        <w:spacing w:before="0" w:after="109"/>
        <w:ind w:left="0" w:right="0" w:hanging="0"/>
        <w:jc w:val="left"/>
        <w:rPr>
          <w:rFonts w:ascii="Helvetica Neue;Helvetica;Arial" w:hAnsi="Helvetica Neue;Helvetica;Arial"/>
          <w:b w:val="false"/>
          <w:i w:val="false"/>
          <w:caps w:val="false"/>
          <w:smallCaps w:val="false"/>
          <w:color w:val="A6A6A6"/>
          <w:spacing w:val="0"/>
          <w:sz w:val="14"/>
        </w:rPr>
      </w:pPr>
      <w:r>
        <w:rPr>
          <w:rFonts w:ascii="Helvetica Neue;Helvetica;Arial" w:hAnsi="Helvetica Neue;Helvetica;Arial"/>
          <w:b w:val="false"/>
          <w:i w:val="false"/>
          <w:caps w:val="false"/>
          <w:smallCaps w:val="false"/>
          <w:color w:val="A6A6A6"/>
          <w:spacing w:val="0"/>
          <w:sz w:val="14"/>
        </w:rPr>
        <w:t>Dans ce cas, il est impératif de préciser que le commissaire dont la nomination est suggérée n’est pas soumis aux incompatibilités prévues aux articles L 225-8 et L 225-224 du Code de Commerce. Les commissaires aux comptes ne peuvent être désignés commissaires aux apports d’une société qu’ils contrôlent.</w:t>
      </w:r>
    </w:p>
    <w:p>
      <w:pPr>
        <w:pStyle w:val="TextBody"/>
        <w:widowControl/>
        <w:bidi w:val="0"/>
        <w:spacing w:before="0" w:after="109"/>
        <w:ind w:left="0" w:right="0" w:hanging="0"/>
        <w:jc w:val="left"/>
        <w:rPr/>
      </w:pPr>
      <w:hyperlink r:id="rId2" w:tgtFrame="_blank">
        <w:r>
          <w:rPr>
            <w:rStyle w:val="InternetLink"/>
            <w:rFonts w:ascii="Helvetica Neue;Helvetica;Arial" w:hAnsi="Helvetica Neue;Helvetica;Arial"/>
            <w:b/>
            <w:i w:val="false"/>
            <w:caps w:val="false"/>
            <w:smallCaps w:val="false"/>
            <w:color w:val="EF4A43"/>
            <w:spacing w:val="0"/>
            <w:sz w:val="14"/>
            <w:u w:val="single"/>
          </w:rPr>
          <w:t>Télécharger le modèle de requête</w:t>
        </w:r>
      </w:hyperlink>
    </w:p>
    <w:p>
      <w:pPr>
        <w:pStyle w:val="TextBody"/>
        <w:widowControl/>
        <w:bidi w:val="0"/>
        <w:spacing w:before="0" w:after="109"/>
        <w:ind w:left="0" w:right="0" w:hanging="0"/>
        <w:jc w:val="left"/>
        <w:rPr/>
      </w:pPr>
      <w:r>
        <w:rPr>
          <w:rFonts w:ascii="Helvetica Neue;Helvetica;Arial" w:hAnsi="Helvetica Neue;Helvetica;Arial"/>
          <w:b w:val="false"/>
          <w:i w:val="false"/>
          <w:caps w:val="false"/>
          <w:smallCaps w:val="false"/>
          <w:color w:val="A6A6A6"/>
          <w:spacing w:val="0"/>
          <w:sz w:val="14"/>
        </w:rPr>
        <w:t>Pour soutenir votre demande, il convient de joindre à l’appui de la requête les</w:t>
        <w:br/>
      </w:r>
      <w:hyperlink r:id="rId3">
        <w:r>
          <w:rPr>
            <w:rStyle w:val="InternetLink"/>
            <w:rFonts w:ascii="Helvetica Neue;Helvetica;Arial" w:hAnsi="Helvetica Neue;Helvetica;Arial"/>
            <w:b/>
            <w:i w:val="false"/>
            <w:caps w:val="false"/>
            <w:smallCaps w:val="false"/>
            <w:color w:val="EF4A43"/>
            <w:spacing w:val="0"/>
            <w:sz w:val="14"/>
            <w:u w:val="single"/>
          </w:rPr>
          <w:t>renseignements suivants</w:t>
        </w:r>
      </w:hyperlink>
    </w:p>
    <w:p>
      <w:pPr>
        <w:pStyle w:val="Heading2"/>
        <w:widowControl/>
        <w:bidi w:val="0"/>
        <w:spacing w:lineRule="atLeast" w:line="284" w:before="0" w:after="164"/>
        <w:ind w:left="0" w:right="0" w:hanging="0"/>
        <w:jc w:val="left"/>
        <w:rPr>
          <w:rFonts w:ascii="Lato" w:hAnsi="Lato"/>
          <w:b w:val="false"/>
          <w:i w:val="false"/>
          <w:caps w:val="false"/>
          <w:smallCaps w:val="false"/>
          <w:color w:val="272727"/>
          <w:spacing w:val="0"/>
          <w:sz w:val="22"/>
        </w:rPr>
      </w:pPr>
      <w:r>
        <w:rPr>
          <w:rFonts w:ascii="Lato" w:hAnsi="Lato"/>
          <w:b w:val="false"/>
          <w:i w:val="false"/>
          <w:caps w:val="false"/>
          <w:smallCaps w:val="false"/>
          <w:color w:val="272727"/>
          <w:spacing w:val="0"/>
          <w:sz w:val="22"/>
        </w:rPr>
        <w:t>Coût </w:t>
      </w:r>
    </w:p>
    <w:p>
      <w:pPr>
        <w:pStyle w:val="TextBody"/>
        <w:widowControl/>
        <w:bidi w:val="0"/>
        <w:spacing w:before="0" w:after="109"/>
        <w:ind w:left="0" w:right="0" w:hanging="0"/>
        <w:jc w:val="left"/>
        <w:rPr/>
      </w:pPr>
      <w:r>
        <w:rPr>
          <w:rFonts w:ascii="Helvetica Neue;Helvetica;Arial" w:hAnsi="Helvetica Neue;Helvetica;Arial"/>
          <w:b w:val="false"/>
          <w:i w:val="false"/>
          <w:caps w:val="false"/>
          <w:smallCaps w:val="false"/>
          <w:color w:val="A6A6A6"/>
          <w:spacing w:val="0"/>
          <w:sz w:val="14"/>
        </w:rPr>
        <w:t>Pour connaître le coût de la requête, </w:t>
      </w:r>
      <w:hyperlink r:id="rId4" w:tgtFrame="_blank">
        <w:r>
          <w:rPr>
            <w:rStyle w:val="InternetLink"/>
            <w:rFonts w:ascii="Helvetica Neue;Helvetica;Arial" w:hAnsi="Helvetica Neue;Helvetica;Arial"/>
            <w:b/>
            <w:i w:val="false"/>
            <w:caps w:val="false"/>
            <w:smallCaps w:val="false"/>
            <w:color w:val="EF4A43"/>
            <w:spacing w:val="0"/>
            <w:sz w:val="14"/>
            <w:u w:val="single"/>
          </w:rPr>
          <w:t>cliquer ici</w:t>
        </w:r>
      </w:hyperlink>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ato">
    <w:charset w:val="01"/>
    <w:family w:val="auto"/>
    <w:pitch w:val="default"/>
  </w:font>
  <w:font w:name="Helvetica Neue">
    <w:altName w:val="Helvetica"/>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1">
    <w:name w:val="Heading 1"/>
    <w:basedOn w:val="Heading"/>
    <w:next w:val="TextBody"/>
    <w:qFormat/>
    <w:pPr>
      <w:spacing w:before="240" w:after="120"/>
      <w:outlineLvl w:val="0"/>
    </w:pPr>
    <w:rPr>
      <w:rFonts w:ascii="Liberation Serif" w:hAnsi="Liberation Serif" w:eastAsia="Songti SC" w:cs="Arial Unicode M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Songti SC" w:cs="Arial Unicode M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Songti SC" w:cs="Arial Unicode MS"/>
      <w:b/>
      <w:bCs/>
      <w:sz w:val="28"/>
      <w:szCs w:val="28"/>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reffe-tc-lyon.fr/myfiles/files/judiciaire/doc/commissaire_verification.doc" TargetMode="External"/><Relationship Id="rId3" Type="http://schemas.openxmlformats.org/officeDocument/2006/relationships/hyperlink" Target="http://www.greffe-tc-lyon.fr/myfiles/files/judiciaire/doc/commissaire_verification_tableau.doc" TargetMode="External"/><Relationship Id="rId4" Type="http://schemas.openxmlformats.org/officeDocument/2006/relationships/hyperlink" Target="http://www.greffe-tc-lyon.fr/fr/contentieux-tribunal/tarifs-fond.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LibreOffice/6.3.6.2$MacOSX_X86_64 LibreOffice_project/2196df99b074d8a661f4036fca8fa0cbfa33a497</Application>
  <Pages>1</Pages>
  <Words>560</Words>
  <Characters>3042</Characters>
  <CharactersWithSpaces>3578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2020-12-22T10:42:50Z</dcterms:created>
  <dc:creator/>
  <dc:description/>
  <dc:language>fr-FR</dc:language>
  <cp:lastModifiedBy/>
  <dcterms:modified xsi:type="dcterms:W3CDTF">2020-12-22T10:43:46Z</dcterms:modified>
  <cp:revision>1</cp:revision>
  <dc:subject/>
  <dc:title/>
</cp:coreProperties>
</file>